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C0A" w:rsidRDefault="004A0C0A" w:rsidP="004A0C0A"/>
    <w:p w:rsidR="004A0C0A" w:rsidRPr="00227A31" w:rsidRDefault="001A5300" w:rsidP="007A6F3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US"/>
        </w:rPr>
        <w:drawing>
          <wp:inline distT="0" distB="0" distL="0" distR="0" wp14:anchorId="579C1210" wp14:editId="196DE587">
            <wp:extent cx="3038475" cy="2152650"/>
            <wp:effectExtent l="0" t="0" r="9525" b="19050"/>
            <wp:docPr id="6" name="Диагра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371047" w:rsidRPr="00227A31" w:rsidRDefault="00371047" w:rsidP="00371047">
      <w:pPr>
        <w:spacing w:after="0" w:line="360" w:lineRule="auto"/>
        <w:jc w:val="both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b/>
          <w:sz w:val="16"/>
          <w:szCs w:val="16"/>
        </w:rPr>
        <w:t>Fig</w:t>
      </w:r>
      <w:proofErr w:type="spellStart"/>
      <w:r>
        <w:rPr>
          <w:rFonts w:ascii="Arial" w:hAnsi="Arial" w:cs="Arial"/>
          <w:b/>
          <w:sz w:val="16"/>
          <w:szCs w:val="16"/>
          <w:lang w:val="en-US"/>
        </w:rPr>
        <w:t>ure</w:t>
      </w:r>
      <w:proofErr w:type="spellEnd"/>
      <w:r>
        <w:rPr>
          <w:rFonts w:ascii="Arial" w:hAnsi="Arial" w:cs="Arial"/>
          <w:b/>
          <w:sz w:val="16"/>
          <w:szCs w:val="16"/>
        </w:rPr>
        <w:t xml:space="preserve"> 5</w:t>
      </w:r>
      <w:r w:rsidRPr="00B31D2E">
        <w:rPr>
          <w:rFonts w:ascii="Arial" w:hAnsi="Arial" w:cs="Arial"/>
          <w:b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Straitght lines by the Mobile Equilibrium</w:t>
      </w:r>
    </w:p>
    <w:p w:rsidR="00371047" w:rsidRPr="00A56B47" w:rsidRDefault="00371047" w:rsidP="00371047">
      <w:pPr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</w:rPr>
        <w:t xml:space="preserve">method during the determination of </w:t>
      </w:r>
      <w:r>
        <w:rPr>
          <w:rFonts w:ascii="Arial" w:hAnsi="Arial" w:cs="Arial"/>
          <w:sz w:val="16"/>
          <w:szCs w:val="16"/>
          <w:lang w:val="en-US"/>
        </w:rPr>
        <w:t>Co</w:t>
      </w:r>
      <w:r>
        <w:rPr>
          <w:rFonts w:ascii="Arial" w:hAnsi="Arial" w:cs="Arial"/>
          <w:sz w:val="16"/>
          <w:szCs w:val="16"/>
        </w:rPr>
        <w:t>-to-</w:t>
      </w:r>
      <w:r>
        <w:rPr>
          <w:rFonts w:ascii="Arial" w:hAnsi="Arial" w:cs="Arial"/>
          <w:sz w:val="16"/>
          <w:szCs w:val="16"/>
          <w:lang w:val="en-US"/>
        </w:rPr>
        <w:t>TS</w:t>
      </w:r>
    </w:p>
    <w:p w:rsidR="005C1CB0" w:rsidRDefault="005C1CB0">
      <w:bookmarkStart w:id="0" w:name="_GoBack"/>
      <w:bookmarkEnd w:id="0"/>
    </w:p>
    <w:sectPr w:rsidR="005C1C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C0A"/>
    <w:rsid w:val="001A5300"/>
    <w:rsid w:val="00371047"/>
    <w:rsid w:val="004A0C0A"/>
    <w:rsid w:val="005C1CB0"/>
    <w:rsid w:val="007A6F35"/>
    <w:rsid w:val="00923486"/>
    <w:rsid w:val="00C2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C0A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0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C0A"/>
    <w:rPr>
      <w:rFonts w:ascii="Tahoma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C0A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0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C0A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7218911825211039"/>
          <c:y val="0.11514982888623021"/>
          <c:w val="0.76613597281531032"/>
          <c:h val="0.79084526562892499"/>
        </c:manualLayout>
      </c:layout>
      <c:scatterChart>
        <c:scatterStyle val="lineMarker"/>
        <c:varyColors val="0"/>
        <c:ser>
          <c:idx val="0"/>
          <c:order val="0"/>
          <c:tx>
            <c:strRef>
              <c:f>'TS Co nasischtane'!$B$1</c:f>
              <c:strCache>
                <c:ptCount val="1"/>
                <c:pt idx="0">
                  <c:v>(1) Co:MTT</c:v>
                </c:pt>
              </c:strCache>
            </c:strRef>
          </c:tx>
          <c:spPr>
            <a:ln w="28575">
              <a:noFill/>
            </a:ln>
          </c:spPr>
          <c:marker>
            <c:symbol val="circle"/>
            <c:size val="3"/>
            <c:spPr>
              <a:solidFill>
                <a:schemeClr val="accent5"/>
              </a:solidFill>
            </c:spPr>
          </c:marker>
          <c:trendline>
            <c:trendlineType val="linear"/>
            <c:dispRSqr val="1"/>
            <c:dispEq val="1"/>
            <c:trendlineLbl>
              <c:layout>
                <c:manualLayout>
                  <c:x val="0.20423350813957686"/>
                  <c:y val="0.28915519332013323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600"/>
                  </a:pPr>
                  <a:endParaRPr lang="en-US"/>
                </a:p>
              </c:txPr>
            </c:trendlineLbl>
          </c:trendline>
          <c:xVal>
            <c:numRef>
              <c:f>'TS Co nasischtane'!$A$2:$A$11</c:f>
              <c:numCache>
                <c:formatCode>General</c:formatCode>
                <c:ptCount val="10"/>
                <c:pt idx="0">
                  <c:v>-4.82</c:v>
                </c:pt>
                <c:pt idx="1">
                  <c:v>-4.5199999999999996</c:v>
                </c:pt>
                <c:pt idx="2">
                  <c:v>-4.22</c:v>
                </c:pt>
                <c:pt idx="3">
                  <c:v>-4.12</c:v>
                </c:pt>
                <c:pt idx="4">
                  <c:v>-4.05</c:v>
                </c:pt>
                <c:pt idx="5">
                  <c:v>-3.99</c:v>
                </c:pt>
                <c:pt idx="6">
                  <c:v>-3.92</c:v>
                </c:pt>
                <c:pt idx="7">
                  <c:v>-3.82</c:v>
                </c:pt>
                <c:pt idx="8">
                  <c:v>-3.74</c:v>
                </c:pt>
                <c:pt idx="9">
                  <c:v>-3.68</c:v>
                </c:pt>
              </c:numCache>
            </c:numRef>
          </c:xVal>
          <c:yVal>
            <c:numRef>
              <c:f>'TS Co nasischtane'!$B$2:$B$11</c:f>
              <c:numCache>
                <c:formatCode>General</c:formatCode>
                <c:ptCount val="10"/>
                <c:pt idx="0">
                  <c:v>-0.3</c:v>
                </c:pt>
                <c:pt idx="1">
                  <c:v>0.03</c:v>
                </c:pt>
                <c:pt idx="2">
                  <c:v>0.27</c:v>
                </c:pt>
                <c:pt idx="4">
                  <c:v>0.52</c:v>
                </c:pt>
                <c:pt idx="5">
                  <c:v>0.64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'TS Co nasischtane'!$C$1</c:f>
              <c:strCache>
                <c:ptCount val="1"/>
                <c:pt idx="0">
                  <c:v>(2) Co:TV</c:v>
                </c:pt>
              </c:strCache>
            </c:strRef>
          </c:tx>
          <c:spPr>
            <a:ln w="28575">
              <a:noFill/>
            </a:ln>
          </c:spPr>
          <c:marker>
            <c:symbol val="square"/>
            <c:size val="3"/>
            <c:spPr>
              <a:solidFill>
                <a:srgbClr val="FF0000"/>
              </a:solidFill>
              <a:ln>
                <a:noFill/>
              </a:ln>
            </c:spPr>
          </c:marker>
          <c:trendline>
            <c:trendlineType val="linear"/>
            <c:dispRSqr val="1"/>
            <c:dispEq val="1"/>
            <c:trendlineLbl>
              <c:layout>
                <c:manualLayout>
                  <c:x val="-4.6830322680253202E-2"/>
                  <c:y val="8.4391328018982151E-2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600"/>
                  </a:pPr>
                  <a:endParaRPr lang="en-US"/>
                </a:p>
              </c:txPr>
            </c:trendlineLbl>
          </c:trendline>
          <c:xVal>
            <c:numRef>
              <c:f>'TS Co nasischtane'!$A$2:$A$11</c:f>
              <c:numCache>
                <c:formatCode>General</c:formatCode>
                <c:ptCount val="10"/>
                <c:pt idx="0">
                  <c:v>-4.82</c:v>
                </c:pt>
                <c:pt idx="1">
                  <c:v>-4.5199999999999996</c:v>
                </c:pt>
                <c:pt idx="2">
                  <c:v>-4.22</c:v>
                </c:pt>
                <c:pt idx="3">
                  <c:v>-4.12</c:v>
                </c:pt>
                <c:pt idx="4">
                  <c:v>-4.05</c:v>
                </c:pt>
                <c:pt idx="5">
                  <c:v>-3.99</c:v>
                </c:pt>
                <c:pt idx="6">
                  <c:v>-3.92</c:v>
                </c:pt>
                <c:pt idx="7">
                  <c:v>-3.82</c:v>
                </c:pt>
                <c:pt idx="8">
                  <c:v>-3.74</c:v>
                </c:pt>
                <c:pt idx="9">
                  <c:v>-3.68</c:v>
                </c:pt>
              </c:numCache>
            </c:numRef>
          </c:xVal>
          <c:yVal>
            <c:numRef>
              <c:f>'TS Co nasischtane'!$C$2:$C$11</c:f>
              <c:numCache>
                <c:formatCode>General</c:formatCode>
                <c:ptCount val="10"/>
                <c:pt idx="1">
                  <c:v>0.3</c:v>
                </c:pt>
                <c:pt idx="3">
                  <c:v>0.65</c:v>
                </c:pt>
                <c:pt idx="4">
                  <c:v>0.75</c:v>
                </c:pt>
                <c:pt idx="6">
                  <c:v>0.89</c:v>
                </c:pt>
                <c:pt idx="7">
                  <c:v>0.95</c:v>
                </c:pt>
                <c:pt idx="8">
                  <c:v>1.1000000000000001</c:v>
                </c:pt>
                <c:pt idx="9">
                  <c:v>1.1599999999999999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6373504"/>
        <c:axId val="66375680"/>
      </c:scatterChart>
      <c:valAx>
        <c:axId val="66373504"/>
        <c:scaling>
          <c:orientation val="minMax"/>
          <c:max val="-2"/>
          <c:min val="-5.5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Log </a:t>
                </a:r>
                <a:r>
                  <a:rPr lang="en-US" i="1"/>
                  <a:t>C</a:t>
                </a:r>
                <a:r>
                  <a:rPr lang="en-US" i="1" baseline="-25000"/>
                  <a:t>TS</a:t>
                </a:r>
                <a:endParaRPr lang="bg-BG" i="1" baseline="-25000"/>
              </a:p>
            </c:rich>
          </c:tx>
          <c:layout>
            <c:manualLayout>
              <c:xMode val="edge"/>
              <c:yMode val="edge"/>
              <c:x val="0.44321432629327084"/>
              <c:y val="0.92817998015265757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66375680"/>
        <c:crosses val="autoZero"/>
        <c:crossBetween val="midCat"/>
        <c:majorUnit val="1"/>
      </c:valAx>
      <c:valAx>
        <c:axId val="66375680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Log </a:t>
                </a:r>
                <a:r>
                  <a:rPr lang="en-US" i="1"/>
                  <a:t>A</a:t>
                </a:r>
                <a:r>
                  <a:rPr lang="en-US"/>
                  <a:t>/(</a:t>
                </a:r>
                <a:r>
                  <a:rPr lang="en-US" i="1"/>
                  <a:t>A</a:t>
                </a:r>
                <a:r>
                  <a:rPr lang="en-US" i="1" baseline="-25000"/>
                  <a:t>max</a:t>
                </a:r>
                <a:r>
                  <a:rPr lang="bg-BG"/>
                  <a:t> –</a:t>
                </a:r>
                <a:r>
                  <a:rPr lang="en-US"/>
                  <a:t> </a:t>
                </a:r>
                <a:r>
                  <a:rPr lang="en-US" i="1"/>
                  <a:t>A</a:t>
                </a:r>
                <a:r>
                  <a:rPr lang="en-US"/>
                  <a:t>) </a:t>
                </a:r>
                <a:endParaRPr lang="bg-BG"/>
              </a:p>
            </c:rich>
          </c:tx>
          <c:layout>
            <c:manualLayout>
              <c:xMode val="edge"/>
              <c:yMode val="edge"/>
              <c:x val="0"/>
              <c:y val="0.29623905418902285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66373504"/>
        <c:crossesAt val="-5.5"/>
        <c:crossBetween val="midCat"/>
      </c:valAx>
      <c:spPr>
        <a:ln>
          <a:solidFill>
            <a:schemeClr val="tx1"/>
          </a:solidFill>
        </a:ln>
      </c:spPr>
    </c:plotArea>
    <c:legend>
      <c:legendPos val="r"/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0.62646517011460512"/>
          <c:y val="0.1398792465429454"/>
          <c:w val="0.23709612291019455"/>
          <c:h val="0.14085429586788378"/>
        </c:manualLayout>
      </c:layout>
      <c:overlay val="0"/>
      <c:txPr>
        <a:bodyPr/>
        <a:lstStyle/>
        <a:p>
          <a:pPr>
            <a:defRPr sz="800"/>
          </a:pPr>
          <a:endParaRPr lang="en-US"/>
        </a:p>
      </c:txPr>
    </c:legend>
    <c:plotVisOnly val="1"/>
    <c:dispBlanksAs val="gap"/>
    <c:showDLblsOverMax val="0"/>
  </c:chart>
  <c:spPr>
    <a:ln>
      <a:solidFill>
        <a:schemeClr val="bg1"/>
      </a:solidFill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</dc:creator>
  <cp:lastModifiedBy>Vania</cp:lastModifiedBy>
  <cp:revision>8</cp:revision>
  <dcterms:created xsi:type="dcterms:W3CDTF">2014-03-13T11:24:00Z</dcterms:created>
  <dcterms:modified xsi:type="dcterms:W3CDTF">2014-06-10T09:40:00Z</dcterms:modified>
</cp:coreProperties>
</file>